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71B" w:rsidRPr="00F125BE" w:rsidRDefault="00DC071B" w:rsidP="00D6763F">
      <w:pPr>
        <w:pStyle w:val="Heading1"/>
        <w:rPr>
          <w:sz w:val="32"/>
        </w:rPr>
      </w:pPr>
      <w:r w:rsidRPr="00F125BE">
        <w:rPr>
          <w:sz w:val="32"/>
        </w:rPr>
        <w:t>School-Based Vision Screening for Students in Public Schools</w:t>
      </w:r>
    </w:p>
    <w:p w:rsidR="0028049F" w:rsidRPr="0028049F" w:rsidRDefault="0028049F" w:rsidP="0028049F">
      <w:r>
        <w:t>Updates to the Utah Administrative Rule</w:t>
      </w:r>
      <w:r w:rsidR="00785CFC">
        <w:t xml:space="preserve"> </w:t>
      </w:r>
      <w:r w:rsidR="00DC071B" w:rsidRPr="00785CFC">
        <w:t>R384-20</w:t>
      </w:r>
      <w:r w:rsidR="00785CFC">
        <w:t>1</w:t>
      </w:r>
      <w:r>
        <w:t xml:space="preserve"> requires that Tier 2 vision screenings </w:t>
      </w:r>
      <w:r w:rsidR="00CF1A81">
        <w:t>are completed for all students who are referred for special education evaluation when a Specific Learning Disability is suspected.</w:t>
      </w:r>
    </w:p>
    <w:p w:rsidR="00F5595E" w:rsidRDefault="00F5595E" w:rsidP="00D6763F">
      <w:pPr>
        <w:pStyle w:val="Heading1"/>
      </w:pPr>
      <w:r>
        <w:t xml:space="preserve">Procedures for Students Being Referred </w:t>
      </w:r>
      <w:r w:rsidR="000C2685">
        <w:t>for Special Education (only required if Specific Learning Disability is being considered)</w:t>
      </w:r>
    </w:p>
    <w:p w:rsidR="000C2685" w:rsidRDefault="000C2685" w:rsidP="000C2685">
      <w:pPr>
        <w:pStyle w:val="ListParagraph"/>
        <w:numPr>
          <w:ilvl w:val="0"/>
          <w:numId w:val="8"/>
        </w:numPr>
      </w:pPr>
      <w:r>
        <w:t xml:space="preserve">The </w:t>
      </w:r>
      <w:r>
        <w:rPr>
          <w:b/>
        </w:rPr>
        <w:t xml:space="preserve">special education teacher </w:t>
      </w:r>
      <w:r>
        <w:t>will provide a copy of the Vision Symptoms Questionnaire to a general education teacher that has current knowledge about the student’s performance.  For secondary schools, the English Language Arts teacher is recommended.</w:t>
      </w:r>
    </w:p>
    <w:p w:rsidR="000C2685" w:rsidRDefault="000C2685" w:rsidP="000C2685">
      <w:pPr>
        <w:pStyle w:val="ListParagraph"/>
        <w:numPr>
          <w:ilvl w:val="0"/>
          <w:numId w:val="8"/>
        </w:numPr>
      </w:pPr>
      <w:r>
        <w:t xml:space="preserve">The </w:t>
      </w:r>
      <w:r>
        <w:rPr>
          <w:b/>
        </w:rPr>
        <w:t>general education teacher</w:t>
      </w:r>
      <w:r>
        <w:t xml:space="preserve"> will complete the Vision Symptoms Questionnaire and return the document to the special education teacher.</w:t>
      </w:r>
    </w:p>
    <w:p w:rsidR="000C2685" w:rsidRDefault="000C2685" w:rsidP="000C2685">
      <w:pPr>
        <w:pStyle w:val="ListParagraph"/>
        <w:numPr>
          <w:ilvl w:val="0"/>
          <w:numId w:val="8"/>
        </w:numPr>
      </w:pPr>
      <w:r>
        <w:t xml:space="preserve">The </w:t>
      </w:r>
      <w:r>
        <w:rPr>
          <w:b/>
        </w:rPr>
        <w:t xml:space="preserve">special education teacher </w:t>
      </w:r>
      <w:r>
        <w:t>will submit a completed copy of the Vision Symptoms Questionnaire to the school assigned district nurse via email.</w:t>
      </w:r>
    </w:p>
    <w:p w:rsidR="000C2685" w:rsidRDefault="000C2685" w:rsidP="000C2685">
      <w:pPr>
        <w:pStyle w:val="ListParagraph"/>
        <w:numPr>
          <w:ilvl w:val="0"/>
          <w:numId w:val="8"/>
        </w:numPr>
      </w:pPr>
      <w:r>
        <w:t xml:space="preserve">The </w:t>
      </w:r>
      <w:r w:rsidRPr="000C2685">
        <w:rPr>
          <w:b/>
        </w:rPr>
        <w:t xml:space="preserve">district nurse </w:t>
      </w:r>
      <w:r>
        <w:t>will complete the Tier 2 Vision Screening and share the results with the spe</w:t>
      </w:r>
      <w:r w:rsidR="00D6763F">
        <w:t>cial education teacher.</w:t>
      </w:r>
    </w:p>
    <w:p w:rsidR="00D6763F" w:rsidRDefault="00D6763F" w:rsidP="000C2685">
      <w:pPr>
        <w:pStyle w:val="ListParagraph"/>
        <w:numPr>
          <w:ilvl w:val="0"/>
          <w:numId w:val="8"/>
        </w:numPr>
      </w:pPr>
      <w:r>
        <w:t xml:space="preserve">If a vision referral is needed due to Tier 2 vision screening results, the </w:t>
      </w:r>
      <w:r>
        <w:rPr>
          <w:b/>
        </w:rPr>
        <w:t xml:space="preserve">district nurse </w:t>
      </w:r>
      <w:r>
        <w:t>will send the vision referral letter home to parents/guardians.</w:t>
      </w:r>
    </w:p>
    <w:p w:rsidR="00DC071B" w:rsidRPr="00A3025F" w:rsidRDefault="00D6763F" w:rsidP="00CF1A81">
      <w:pPr>
        <w:pStyle w:val="ListParagraph"/>
        <w:numPr>
          <w:ilvl w:val="0"/>
          <w:numId w:val="8"/>
        </w:numPr>
      </w:pPr>
      <w:r>
        <w:t xml:space="preserve">The </w:t>
      </w:r>
      <w:r w:rsidRPr="000C2685">
        <w:rPr>
          <w:b/>
        </w:rPr>
        <w:t xml:space="preserve">district nurse </w:t>
      </w:r>
      <w:r>
        <w:t>will be responsible for entering vision screening results into Skyward.</w:t>
      </w:r>
    </w:p>
    <w:p w:rsidR="00CF1A81" w:rsidRDefault="00CF1A81" w:rsidP="00CF1A81">
      <w:pPr>
        <w:pStyle w:val="Heading1"/>
      </w:pPr>
      <w:r>
        <w:t>To access a copy of the Vision Screening Questionn</w:t>
      </w:r>
      <w:r w:rsidR="00785CFC">
        <w:t>aire</w:t>
      </w:r>
    </w:p>
    <w:p w:rsidR="00785CFC" w:rsidRDefault="00785CFC" w:rsidP="00785CFC">
      <w:pPr>
        <w:pStyle w:val="ListParagraph"/>
        <w:numPr>
          <w:ilvl w:val="0"/>
          <w:numId w:val="10"/>
        </w:numPr>
      </w:pPr>
      <w:r>
        <w:t>On the Canyons District website, select departments and go to Responsive Services.</w:t>
      </w:r>
    </w:p>
    <w:p w:rsidR="00785CFC" w:rsidRDefault="00785CFC" w:rsidP="00785CFC">
      <w:pPr>
        <w:pStyle w:val="ListParagraph"/>
        <w:numPr>
          <w:ilvl w:val="0"/>
          <w:numId w:val="10"/>
        </w:numPr>
      </w:pPr>
      <w:r>
        <w:t>From the Responsive Services webpage, select Support Areas and then select Nursing Services.</w:t>
      </w:r>
    </w:p>
    <w:p w:rsidR="00785CFC" w:rsidRDefault="00785CFC" w:rsidP="00785CFC">
      <w:pPr>
        <w:pStyle w:val="ListParagraph"/>
        <w:numPr>
          <w:ilvl w:val="0"/>
          <w:numId w:val="10"/>
        </w:numPr>
      </w:pPr>
      <w:r>
        <w:t>Select the Vision Screening Questionnaire located at the bottom of the page in the Forms &amp; Health Information section.</w:t>
      </w:r>
    </w:p>
    <w:p w:rsidR="00785CFC" w:rsidRPr="00785CFC" w:rsidRDefault="00785CFC" w:rsidP="00785CFC">
      <w:pPr>
        <w:pStyle w:val="ListParagraph"/>
        <w:numPr>
          <w:ilvl w:val="0"/>
          <w:numId w:val="10"/>
        </w:numPr>
      </w:pPr>
      <w:r>
        <w:t>Google Docs will ask if you would like to create a copy.  Select yes.</w:t>
      </w:r>
    </w:p>
    <w:p w:rsidR="00CF1A81" w:rsidRPr="00CF1A81" w:rsidRDefault="00CF1A81" w:rsidP="00CF1A81"/>
    <w:p w:rsidR="00CF1A81" w:rsidRDefault="00CF1A81">
      <w:pPr>
        <w:rPr>
          <w:rFonts w:ascii="Avenir" w:eastAsia="Times New Roman" w:hAnsi="Avenir" w:cstheme="majorHAnsi"/>
          <w:b/>
          <w:color w:val="44546A" w:themeColor="text2"/>
          <w:sz w:val="28"/>
          <w:szCs w:val="22"/>
        </w:rPr>
      </w:pPr>
      <w:r>
        <w:rPr>
          <w:rFonts w:ascii="Avenir" w:eastAsia="Times New Roman" w:hAnsi="Avenir" w:cstheme="majorHAnsi"/>
          <w:b/>
          <w:color w:val="44546A" w:themeColor="text2"/>
          <w:sz w:val="28"/>
          <w:szCs w:val="22"/>
        </w:rPr>
        <w:br w:type="page"/>
      </w:r>
    </w:p>
    <w:p w:rsidR="00785CFC" w:rsidRDefault="00785CFC" w:rsidP="00EE05F5">
      <w:pPr>
        <w:rPr>
          <w:rFonts w:ascii="Avenir" w:eastAsia="Times New Roman" w:hAnsi="Avenir" w:cstheme="majorHAnsi"/>
          <w:b/>
          <w:color w:val="44546A" w:themeColor="text2"/>
          <w:sz w:val="28"/>
          <w:szCs w:val="22"/>
        </w:rPr>
      </w:pPr>
    </w:p>
    <w:p w:rsidR="00785CFC" w:rsidRDefault="00785CFC" w:rsidP="00EE05F5">
      <w:pPr>
        <w:rPr>
          <w:rFonts w:ascii="Avenir" w:eastAsia="Times New Roman" w:hAnsi="Avenir" w:cstheme="majorHAnsi"/>
          <w:b/>
          <w:color w:val="44546A" w:themeColor="text2"/>
          <w:sz w:val="28"/>
          <w:szCs w:val="22"/>
        </w:rPr>
      </w:pPr>
      <w:r>
        <w:rPr>
          <w:rFonts w:ascii="Avenir" w:eastAsia="Times New Roman" w:hAnsi="Avenir" w:cstheme="majorHAnsi"/>
          <w:b/>
          <w:noProof/>
          <w:color w:val="44546A" w:themeColor="text2"/>
          <w:sz w:val="28"/>
          <w:szCs w:val="22"/>
        </w:rPr>
        <w:drawing>
          <wp:inline distT="0" distB="0" distL="0" distR="0" wp14:anchorId="3B0950F3" wp14:editId="0D94DC06">
            <wp:extent cx="6400800" cy="7499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08 at 9.51.1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49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CFC" w:rsidRDefault="00785CFC">
      <w:pPr>
        <w:rPr>
          <w:rFonts w:ascii="Avenir" w:eastAsia="Times New Roman" w:hAnsi="Avenir" w:cstheme="majorHAnsi"/>
          <w:b/>
          <w:color w:val="44546A" w:themeColor="text2"/>
          <w:sz w:val="28"/>
          <w:szCs w:val="22"/>
        </w:rPr>
      </w:pPr>
      <w:r>
        <w:rPr>
          <w:rFonts w:ascii="Avenir" w:eastAsia="Times New Roman" w:hAnsi="Avenir" w:cstheme="majorHAnsi"/>
          <w:b/>
          <w:color w:val="44546A" w:themeColor="text2"/>
          <w:sz w:val="28"/>
          <w:szCs w:val="22"/>
        </w:rPr>
        <w:br w:type="page"/>
      </w:r>
    </w:p>
    <w:p w:rsidR="00EE05F5" w:rsidRDefault="00CF1A81" w:rsidP="00EE05F5">
      <w:pPr>
        <w:rPr>
          <w:rFonts w:ascii="Avenir" w:eastAsia="Times New Roman" w:hAnsi="Avenir" w:cstheme="majorHAnsi"/>
          <w:b/>
          <w:color w:val="44546A" w:themeColor="text2"/>
          <w:sz w:val="28"/>
          <w:szCs w:val="22"/>
        </w:rPr>
      </w:pPr>
      <w:r>
        <w:rPr>
          <w:rFonts w:ascii="Avenir" w:eastAsia="Times New Roman" w:hAnsi="Avenir" w:cstheme="majorHAnsi"/>
          <w:b/>
          <w:color w:val="44546A" w:themeColor="text2"/>
          <w:sz w:val="28"/>
          <w:szCs w:val="22"/>
        </w:rPr>
        <w:lastRenderedPageBreak/>
        <w:t xml:space="preserve">EXAMPLE </w:t>
      </w:r>
      <w:r w:rsidR="00EE05F5" w:rsidRPr="00EE05F5">
        <w:rPr>
          <w:rFonts w:ascii="Avenir" w:eastAsia="Times New Roman" w:hAnsi="Avenir" w:cstheme="majorHAnsi"/>
          <w:b/>
          <w:color w:val="44546A" w:themeColor="text2"/>
          <w:sz w:val="28"/>
          <w:szCs w:val="22"/>
        </w:rPr>
        <w:t xml:space="preserve">Vision Symptoms Questionnaire </w:t>
      </w:r>
    </w:p>
    <w:p w:rsidR="00CF1A81" w:rsidRPr="00CF1A81" w:rsidRDefault="00CF1A81" w:rsidP="00EE05F5">
      <w:pPr>
        <w:rPr>
          <w:rFonts w:ascii="Avenir" w:eastAsia="Times New Roman" w:hAnsi="Avenir" w:cstheme="majorHAnsi"/>
          <w:b/>
          <w:i/>
          <w:color w:val="FF0000"/>
          <w:sz w:val="22"/>
          <w:szCs w:val="22"/>
        </w:rPr>
      </w:pPr>
      <w:r w:rsidRPr="00CF1A81">
        <w:rPr>
          <w:rFonts w:ascii="Avenir" w:eastAsia="Times New Roman" w:hAnsi="Avenir" w:cstheme="majorHAnsi"/>
          <w:b/>
          <w:i/>
          <w:color w:val="FF0000"/>
          <w:sz w:val="22"/>
          <w:szCs w:val="22"/>
        </w:rPr>
        <w:t>To download a copy of the questionnaire, go to the Nursing Services webpage found on the Responsive Services website.</w:t>
      </w:r>
    </w:p>
    <w:p w:rsidR="00EE05F5" w:rsidRPr="00F85067" w:rsidRDefault="00F85067" w:rsidP="00EE05F5">
      <w:pPr>
        <w:rPr>
          <w:rFonts w:asciiTheme="majorHAnsi" w:eastAsia="Times New Roman" w:hAnsiTheme="majorHAnsi" w:cstheme="majorHAnsi"/>
          <w:i/>
          <w:sz w:val="21"/>
          <w:szCs w:val="22"/>
        </w:rPr>
      </w:pPr>
      <w:r>
        <w:rPr>
          <w:rFonts w:asciiTheme="majorHAnsi" w:eastAsia="Times New Roman" w:hAnsiTheme="majorHAnsi" w:cstheme="majorHAnsi"/>
          <w:i/>
          <w:sz w:val="21"/>
          <w:szCs w:val="22"/>
        </w:rPr>
        <w:t xml:space="preserve">Adapted from </w:t>
      </w:r>
      <w:r w:rsidR="00EE05F5" w:rsidRPr="00EE05F5">
        <w:rPr>
          <w:rFonts w:asciiTheme="majorHAnsi" w:eastAsia="Times New Roman" w:hAnsiTheme="majorHAnsi" w:cstheme="majorHAnsi"/>
          <w:i/>
          <w:sz w:val="21"/>
          <w:szCs w:val="22"/>
        </w:rPr>
        <w:t>Utah Department of Health in accordance with UCA 53G-9-404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522"/>
        <w:gridCol w:w="1342"/>
        <w:gridCol w:w="197"/>
        <w:gridCol w:w="803"/>
        <w:gridCol w:w="99"/>
        <w:gridCol w:w="667"/>
        <w:gridCol w:w="66"/>
        <w:gridCol w:w="630"/>
        <w:gridCol w:w="305"/>
        <w:gridCol w:w="592"/>
        <w:gridCol w:w="2328"/>
      </w:tblGrid>
      <w:tr w:rsidR="00EE05F5" w:rsidRPr="00C758D6" w:rsidTr="00CF1A81">
        <w:trPr>
          <w:trHeight w:val="20"/>
        </w:trPr>
        <w:tc>
          <w:tcPr>
            <w:tcW w:w="1519" w:type="dxa"/>
          </w:tcPr>
          <w:p w:rsidR="00EE05F5" w:rsidRPr="00C758D6" w:rsidRDefault="00EE05F5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t>Student Name</w:t>
            </w:r>
          </w:p>
        </w:tc>
        <w:tc>
          <w:tcPr>
            <w:tcW w:w="4630" w:type="dxa"/>
            <w:gridSpan w:val="6"/>
          </w:tcPr>
          <w:p w:rsidR="00EE05F5" w:rsidRPr="00F85067" w:rsidRDefault="00F85067" w:rsidP="00EE05F5">
            <w:pPr>
              <w:rPr>
                <w:rFonts w:ascii="Avenir" w:eastAsia="Times New Roman" w:hAnsi="Avenir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93" w:type="dxa"/>
            <w:gridSpan w:val="4"/>
          </w:tcPr>
          <w:p w:rsidR="00EE05F5" w:rsidRPr="00C758D6" w:rsidRDefault="00EE05F5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t>Referral Date</w:t>
            </w:r>
          </w:p>
        </w:tc>
        <w:tc>
          <w:tcPr>
            <w:tcW w:w="2328" w:type="dxa"/>
          </w:tcPr>
          <w:p w:rsidR="00EE05F5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EE05F5" w:rsidRPr="00C758D6" w:rsidTr="00CF1A81">
        <w:trPr>
          <w:trHeight w:val="20"/>
        </w:trPr>
        <w:tc>
          <w:tcPr>
            <w:tcW w:w="1519" w:type="dxa"/>
          </w:tcPr>
          <w:p w:rsidR="00EE05F5" w:rsidRPr="00C758D6" w:rsidRDefault="00EE05F5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t>School</w:t>
            </w:r>
          </w:p>
        </w:tc>
        <w:tc>
          <w:tcPr>
            <w:tcW w:w="3061" w:type="dxa"/>
            <w:gridSpan w:val="3"/>
          </w:tcPr>
          <w:p w:rsidR="00EE05F5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</w:tcPr>
          <w:p w:rsidR="00EE05F5" w:rsidRPr="00C758D6" w:rsidRDefault="00EE05F5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t>Grade</w:t>
            </w:r>
          </w:p>
        </w:tc>
        <w:tc>
          <w:tcPr>
            <w:tcW w:w="766" w:type="dxa"/>
            <w:gridSpan w:val="2"/>
          </w:tcPr>
          <w:p w:rsidR="00EE05F5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gridSpan w:val="3"/>
          </w:tcPr>
          <w:p w:rsidR="00EE05F5" w:rsidRPr="00C758D6" w:rsidRDefault="00EE05F5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t>Teacher</w:t>
            </w:r>
          </w:p>
        </w:tc>
        <w:tc>
          <w:tcPr>
            <w:tcW w:w="2920" w:type="dxa"/>
            <w:gridSpan w:val="2"/>
          </w:tcPr>
          <w:p w:rsidR="00EE05F5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EE05F5" w:rsidRPr="00C758D6" w:rsidTr="00CF1A81">
        <w:trPr>
          <w:trHeight w:val="20"/>
        </w:trPr>
        <w:tc>
          <w:tcPr>
            <w:tcW w:w="4383" w:type="dxa"/>
            <w:gridSpan w:val="3"/>
          </w:tcPr>
          <w:p w:rsidR="00EE05F5" w:rsidRPr="00C758D6" w:rsidRDefault="00EE05F5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t>Name and Title of Person Completing the Form</w:t>
            </w:r>
          </w:p>
        </w:tc>
        <w:tc>
          <w:tcPr>
            <w:tcW w:w="5687" w:type="dxa"/>
            <w:gridSpan w:val="9"/>
          </w:tcPr>
          <w:p w:rsidR="00EE05F5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EE05F5" w:rsidRPr="00C758D6" w:rsidTr="00CF1A81">
        <w:trPr>
          <w:trHeight w:val="20"/>
        </w:trPr>
        <w:tc>
          <w:tcPr>
            <w:tcW w:w="3041" w:type="dxa"/>
            <w:gridSpan w:val="2"/>
          </w:tcPr>
          <w:p w:rsidR="00EE05F5" w:rsidRPr="00C758D6" w:rsidRDefault="00EE05F5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t>Does the student wear glasses?</w:t>
            </w:r>
          </w:p>
        </w:tc>
        <w:tc>
          <w:tcPr>
            <w:tcW w:w="7029" w:type="dxa"/>
            <w:gridSpan w:val="10"/>
          </w:tcPr>
          <w:p w:rsidR="00EE05F5" w:rsidRPr="00C758D6" w:rsidRDefault="00EE05F5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</w:instrText>
            </w:r>
            <w:bookmarkStart w:id="1" w:name="Check1"/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1"/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yes     </w:t>
            </w:r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2"/>
            <w:r w:rsidRPr="00C758D6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no</w:t>
            </w:r>
          </w:p>
        </w:tc>
      </w:tr>
      <w:tr w:rsidR="00EE05F5" w:rsidRPr="00C758D6" w:rsidTr="00CF1A81">
        <w:trPr>
          <w:trHeight w:val="20"/>
        </w:trPr>
        <w:tc>
          <w:tcPr>
            <w:tcW w:w="10070" w:type="dxa"/>
            <w:gridSpan w:val="12"/>
          </w:tcPr>
          <w:p w:rsidR="001A682C" w:rsidRPr="001A682C" w:rsidRDefault="001A682C" w:rsidP="001A68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A682C">
              <w:rPr>
                <w:rFonts w:asciiTheme="majorHAnsi" w:hAnsiTheme="majorHAnsi" w:cstheme="majorHAnsi"/>
                <w:sz w:val="22"/>
                <w:szCs w:val="22"/>
              </w:rPr>
              <w:t xml:space="preserve">Teachers are required to complete this form if a student is being referred for special education services related to a specific learning disability. Parents may also complete this form if there is a vision concern. </w:t>
            </w:r>
          </w:p>
          <w:p w:rsidR="00EE05F5" w:rsidRPr="001A682C" w:rsidRDefault="00EE05F5" w:rsidP="00EE05F5">
            <w:pPr>
              <w:rPr>
                <w:rFonts w:asciiTheme="majorHAnsi" w:hAnsiTheme="majorHAnsi" w:cstheme="majorHAnsi"/>
                <w:b/>
                <w:sz w:val="21"/>
                <w:szCs w:val="22"/>
              </w:rPr>
            </w:pPr>
            <w:r w:rsidRPr="001A682C">
              <w:rPr>
                <w:rFonts w:asciiTheme="majorHAnsi" w:hAnsiTheme="majorHAnsi" w:cstheme="majorHAnsi"/>
                <w:b/>
                <w:sz w:val="21"/>
                <w:szCs w:val="22"/>
              </w:rPr>
              <w:t>If answer is ‘yes’ to any areas below, please provide you may be aware of in the comment section(s).</w:t>
            </w:r>
          </w:p>
        </w:tc>
      </w:tr>
      <w:tr w:rsidR="00EE05F5" w:rsidRPr="00C758D6" w:rsidTr="00CF1A81">
        <w:trPr>
          <w:trHeight w:val="20"/>
        </w:trPr>
        <w:tc>
          <w:tcPr>
            <w:tcW w:w="5482" w:type="dxa"/>
            <w:gridSpan w:val="6"/>
            <w:shd w:val="clear" w:color="auto" w:fill="D9E2F3" w:themeFill="accent1" w:themeFillTint="33"/>
            <w:vAlign w:val="center"/>
          </w:tcPr>
          <w:p w:rsidR="00EE05F5" w:rsidRPr="00C758D6" w:rsidRDefault="00EE05F5" w:rsidP="001A682C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shd w:val="clear" w:color="auto" w:fill="D9E2F3" w:themeFill="accent1" w:themeFillTint="33"/>
            <w:vAlign w:val="center"/>
          </w:tcPr>
          <w:p w:rsidR="00EE05F5" w:rsidRPr="00C758D6" w:rsidRDefault="00EE05F5" w:rsidP="001A682C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758D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:rsidR="00EE05F5" w:rsidRPr="00C758D6" w:rsidRDefault="00EE05F5" w:rsidP="001A682C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758D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No</w:t>
            </w:r>
          </w:p>
        </w:tc>
        <w:tc>
          <w:tcPr>
            <w:tcW w:w="3225" w:type="dxa"/>
            <w:gridSpan w:val="3"/>
            <w:shd w:val="clear" w:color="auto" w:fill="D9E2F3" w:themeFill="accent1" w:themeFillTint="33"/>
            <w:vAlign w:val="center"/>
          </w:tcPr>
          <w:p w:rsidR="00EE05F5" w:rsidRPr="00C758D6" w:rsidRDefault="00D7162B" w:rsidP="001A682C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758D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Additional Comments</w:t>
            </w:r>
          </w:p>
        </w:tc>
      </w:tr>
      <w:tr w:rsidR="00EE05F5" w:rsidRPr="00C758D6" w:rsidTr="00CF1A81">
        <w:trPr>
          <w:trHeight w:val="20"/>
        </w:trPr>
        <w:tc>
          <w:tcPr>
            <w:tcW w:w="5482" w:type="dxa"/>
            <w:gridSpan w:val="6"/>
          </w:tcPr>
          <w:p w:rsidR="00EE05F5" w:rsidRPr="00C758D6" w:rsidRDefault="00D7162B" w:rsidP="00D716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 xml:space="preserve">As a teacher or parent are you concerned with this student’s vision? </w:t>
            </w:r>
          </w:p>
        </w:tc>
        <w:tc>
          <w:tcPr>
            <w:tcW w:w="733" w:type="dxa"/>
            <w:gridSpan w:val="2"/>
          </w:tcPr>
          <w:p w:rsidR="00EE05F5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30" w:type="dxa"/>
          </w:tcPr>
          <w:p w:rsidR="00EE05F5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25" w:type="dxa"/>
            <w:gridSpan w:val="3"/>
            <w:vAlign w:val="center"/>
          </w:tcPr>
          <w:p w:rsidR="00EE05F5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F85067" w:rsidRPr="00C758D6" w:rsidTr="00CF1A81">
        <w:trPr>
          <w:trHeight w:val="20"/>
        </w:trPr>
        <w:tc>
          <w:tcPr>
            <w:tcW w:w="10070" w:type="dxa"/>
            <w:gridSpan w:val="12"/>
            <w:shd w:val="clear" w:color="auto" w:fill="D9E2F3" w:themeFill="accent1" w:themeFillTint="33"/>
            <w:vAlign w:val="center"/>
          </w:tcPr>
          <w:p w:rsidR="00F85067" w:rsidRPr="00F85067" w:rsidRDefault="00F85067" w:rsidP="001A682C">
            <w:pPr>
              <w:rPr>
                <w:rFonts w:ascii="Avenir" w:eastAsia="Times New Roman" w:hAnsi="Avenir" w:cstheme="majorHAnsi"/>
                <w:sz w:val="22"/>
                <w:szCs w:val="22"/>
              </w:rPr>
            </w:pPr>
            <w:r w:rsidRPr="00F85067">
              <w:rPr>
                <w:rFonts w:ascii="Avenir" w:hAnsi="Avenir" w:cstheme="majorHAnsi"/>
                <w:b/>
                <w:sz w:val="22"/>
                <w:szCs w:val="22"/>
              </w:rPr>
              <w:t>Appearance Symptoms</w:t>
            </w:r>
          </w:p>
        </w:tc>
      </w:tr>
      <w:tr w:rsidR="00D7162B" w:rsidRPr="00C758D6" w:rsidTr="00CF1A81">
        <w:trPr>
          <w:trHeight w:val="20"/>
        </w:trPr>
        <w:tc>
          <w:tcPr>
            <w:tcW w:w="5482" w:type="dxa"/>
            <w:gridSpan w:val="6"/>
          </w:tcPr>
          <w:p w:rsidR="00D7162B" w:rsidRPr="00C758D6" w:rsidRDefault="00D7162B" w:rsidP="00D716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Tilts head, squints, closes or covers one eye when reading</w:t>
            </w:r>
          </w:p>
        </w:tc>
        <w:tc>
          <w:tcPr>
            <w:tcW w:w="733" w:type="dxa"/>
            <w:gridSpan w:val="2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30" w:type="dxa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25" w:type="dxa"/>
            <w:gridSpan w:val="3"/>
            <w:vAlign w:val="center"/>
          </w:tcPr>
          <w:p w:rsidR="00D7162B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D7162B" w:rsidRPr="00C758D6" w:rsidTr="00CF1A81">
        <w:trPr>
          <w:trHeight w:val="20"/>
        </w:trPr>
        <w:tc>
          <w:tcPr>
            <w:tcW w:w="5482" w:type="dxa"/>
            <w:gridSpan w:val="6"/>
          </w:tcPr>
          <w:p w:rsidR="00D7162B" w:rsidRPr="00C758D6" w:rsidRDefault="00D7162B" w:rsidP="00D716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Gaze issues, eyes turn in or out, crossed eyes, eyes wander</w:t>
            </w:r>
          </w:p>
        </w:tc>
        <w:tc>
          <w:tcPr>
            <w:tcW w:w="733" w:type="dxa"/>
            <w:gridSpan w:val="2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30" w:type="dxa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225" w:type="dxa"/>
            <w:gridSpan w:val="3"/>
            <w:vAlign w:val="center"/>
          </w:tcPr>
          <w:p w:rsidR="00D7162B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D7162B" w:rsidRPr="00C758D6" w:rsidTr="00CF1A81">
        <w:trPr>
          <w:trHeight w:val="20"/>
        </w:trPr>
        <w:tc>
          <w:tcPr>
            <w:tcW w:w="5482" w:type="dxa"/>
            <w:gridSpan w:val="6"/>
          </w:tcPr>
          <w:p w:rsidR="00D7162B" w:rsidRPr="00C758D6" w:rsidRDefault="00D7162B" w:rsidP="00D716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Different size pupils or eyes</w:t>
            </w:r>
          </w:p>
        </w:tc>
        <w:tc>
          <w:tcPr>
            <w:tcW w:w="733" w:type="dxa"/>
            <w:gridSpan w:val="2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0" w:type="dxa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25" w:type="dxa"/>
            <w:gridSpan w:val="3"/>
            <w:vAlign w:val="center"/>
          </w:tcPr>
          <w:p w:rsidR="00D7162B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D7162B" w:rsidRPr="00C758D6" w:rsidTr="00CF1A81">
        <w:trPr>
          <w:trHeight w:val="20"/>
        </w:trPr>
        <w:tc>
          <w:tcPr>
            <w:tcW w:w="5482" w:type="dxa"/>
            <w:gridSpan w:val="6"/>
          </w:tcPr>
          <w:p w:rsidR="00D7162B" w:rsidRPr="00C758D6" w:rsidRDefault="00D7162B" w:rsidP="00D716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Watery eyes, eyes appear hazy or clouded</w:t>
            </w:r>
          </w:p>
        </w:tc>
        <w:tc>
          <w:tcPr>
            <w:tcW w:w="733" w:type="dxa"/>
            <w:gridSpan w:val="2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30" w:type="dxa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25" w:type="dxa"/>
            <w:gridSpan w:val="3"/>
            <w:vAlign w:val="center"/>
          </w:tcPr>
          <w:p w:rsidR="00D7162B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F85067" w:rsidRPr="00C758D6" w:rsidTr="00CF1A81">
        <w:trPr>
          <w:trHeight w:val="20"/>
        </w:trPr>
        <w:tc>
          <w:tcPr>
            <w:tcW w:w="10070" w:type="dxa"/>
            <w:gridSpan w:val="12"/>
            <w:shd w:val="clear" w:color="auto" w:fill="D9E2F3" w:themeFill="accent1" w:themeFillTint="33"/>
            <w:vAlign w:val="center"/>
          </w:tcPr>
          <w:p w:rsidR="00F85067" w:rsidRPr="00F85067" w:rsidRDefault="00F85067" w:rsidP="001A682C">
            <w:pPr>
              <w:rPr>
                <w:rFonts w:ascii="Avenir" w:eastAsia="Times New Roman" w:hAnsi="Avenir" w:cstheme="majorHAnsi"/>
                <w:sz w:val="22"/>
                <w:szCs w:val="22"/>
              </w:rPr>
            </w:pPr>
            <w:r w:rsidRPr="00F85067">
              <w:rPr>
                <w:rFonts w:ascii="Avenir" w:hAnsi="Avenir" w:cstheme="majorHAnsi"/>
                <w:b/>
                <w:sz w:val="22"/>
                <w:szCs w:val="22"/>
              </w:rPr>
              <w:t xml:space="preserve">Complaints (Student Statements) Symptoms </w:t>
            </w:r>
            <w:r w:rsidRPr="00F85067">
              <w:rPr>
                <w:rFonts w:ascii="Avenir" w:hAnsi="Avenir" w:cstheme="majorHAnsi"/>
                <w:i/>
                <w:sz w:val="20"/>
                <w:szCs w:val="22"/>
              </w:rPr>
              <w:t>(please specify student complaints in comments section)</w:t>
            </w:r>
          </w:p>
        </w:tc>
      </w:tr>
      <w:tr w:rsidR="00D7162B" w:rsidRPr="00C758D6" w:rsidTr="00CF1A81">
        <w:trPr>
          <w:trHeight w:val="20"/>
        </w:trPr>
        <w:tc>
          <w:tcPr>
            <w:tcW w:w="5482" w:type="dxa"/>
            <w:gridSpan w:val="6"/>
          </w:tcPr>
          <w:p w:rsidR="00D7162B" w:rsidRPr="00C758D6" w:rsidRDefault="00D7162B" w:rsidP="00D716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Words float, move, or jump around when reading</w:t>
            </w:r>
          </w:p>
        </w:tc>
        <w:tc>
          <w:tcPr>
            <w:tcW w:w="733" w:type="dxa"/>
            <w:gridSpan w:val="2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30" w:type="dxa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225" w:type="dxa"/>
            <w:gridSpan w:val="3"/>
            <w:vAlign w:val="center"/>
          </w:tcPr>
          <w:p w:rsidR="00D7162B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D7162B" w:rsidRPr="00C758D6" w:rsidTr="00CF1A81">
        <w:trPr>
          <w:trHeight w:val="20"/>
        </w:trPr>
        <w:tc>
          <w:tcPr>
            <w:tcW w:w="5482" w:type="dxa"/>
            <w:gridSpan w:val="6"/>
          </w:tcPr>
          <w:p w:rsidR="00D7162B" w:rsidRPr="00C758D6" w:rsidRDefault="00D7162B" w:rsidP="00D716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Complains of headaches, dizziness, or nausea when reading</w:t>
            </w:r>
          </w:p>
        </w:tc>
        <w:tc>
          <w:tcPr>
            <w:tcW w:w="733" w:type="dxa"/>
            <w:gridSpan w:val="2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30" w:type="dxa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225" w:type="dxa"/>
            <w:gridSpan w:val="3"/>
            <w:vAlign w:val="center"/>
          </w:tcPr>
          <w:p w:rsidR="00D7162B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D7162B" w:rsidRPr="00C758D6" w:rsidTr="00CF1A81">
        <w:trPr>
          <w:trHeight w:val="20"/>
        </w:trPr>
        <w:tc>
          <w:tcPr>
            <w:tcW w:w="5482" w:type="dxa"/>
            <w:gridSpan w:val="6"/>
          </w:tcPr>
          <w:p w:rsidR="00D7162B" w:rsidRPr="00C758D6" w:rsidRDefault="00D7162B" w:rsidP="00D716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 xml:space="preserve">Complains of itching, burning, or scratchy eyes </w:t>
            </w:r>
          </w:p>
        </w:tc>
        <w:tc>
          <w:tcPr>
            <w:tcW w:w="733" w:type="dxa"/>
            <w:gridSpan w:val="2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30" w:type="dxa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25" w:type="dxa"/>
            <w:gridSpan w:val="3"/>
            <w:vAlign w:val="center"/>
          </w:tcPr>
          <w:p w:rsidR="00D7162B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D7162B" w:rsidRPr="00C758D6" w:rsidTr="00CF1A81">
        <w:trPr>
          <w:trHeight w:val="20"/>
        </w:trPr>
        <w:tc>
          <w:tcPr>
            <w:tcW w:w="5482" w:type="dxa"/>
            <w:gridSpan w:val="6"/>
          </w:tcPr>
          <w:p w:rsidR="00D7162B" w:rsidRPr="00C758D6" w:rsidRDefault="00D7162B" w:rsidP="00D716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Complains of blurred or double vision, unusual sensitivity to light, or difficulty seeing</w:t>
            </w:r>
          </w:p>
        </w:tc>
        <w:tc>
          <w:tcPr>
            <w:tcW w:w="733" w:type="dxa"/>
            <w:gridSpan w:val="2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30" w:type="dxa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225" w:type="dxa"/>
            <w:gridSpan w:val="3"/>
            <w:vAlign w:val="center"/>
          </w:tcPr>
          <w:p w:rsidR="00D7162B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F85067" w:rsidRPr="00C758D6" w:rsidTr="00CF1A81">
        <w:trPr>
          <w:trHeight w:val="20"/>
        </w:trPr>
        <w:tc>
          <w:tcPr>
            <w:tcW w:w="10070" w:type="dxa"/>
            <w:gridSpan w:val="12"/>
            <w:shd w:val="clear" w:color="auto" w:fill="D9E2F3" w:themeFill="accent1" w:themeFillTint="33"/>
            <w:vAlign w:val="center"/>
          </w:tcPr>
          <w:p w:rsidR="00F85067" w:rsidRPr="00F85067" w:rsidRDefault="00F85067" w:rsidP="001A682C">
            <w:pPr>
              <w:rPr>
                <w:rFonts w:ascii="Avenir" w:eastAsia="Times New Roman" w:hAnsi="Avenir" w:cstheme="majorHAnsi"/>
                <w:sz w:val="22"/>
                <w:szCs w:val="22"/>
              </w:rPr>
            </w:pPr>
            <w:r w:rsidRPr="00F85067">
              <w:rPr>
                <w:rFonts w:ascii="Avenir" w:hAnsi="Avenir" w:cstheme="majorHAnsi"/>
                <w:b/>
                <w:sz w:val="22"/>
                <w:szCs w:val="22"/>
              </w:rPr>
              <w:t>Behavior Symptoms</w:t>
            </w:r>
          </w:p>
        </w:tc>
      </w:tr>
      <w:tr w:rsidR="00D7162B" w:rsidRPr="00C758D6" w:rsidTr="00CF1A81">
        <w:trPr>
          <w:trHeight w:val="20"/>
        </w:trPr>
        <w:tc>
          <w:tcPr>
            <w:tcW w:w="5482" w:type="dxa"/>
            <w:gridSpan w:val="6"/>
          </w:tcPr>
          <w:p w:rsidR="00D7162B" w:rsidRPr="00C758D6" w:rsidRDefault="00D7162B" w:rsidP="00D716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Loses place when reading</w:t>
            </w:r>
          </w:p>
        </w:tc>
        <w:tc>
          <w:tcPr>
            <w:tcW w:w="733" w:type="dxa"/>
            <w:gridSpan w:val="2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30" w:type="dxa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25" w:type="dxa"/>
            <w:gridSpan w:val="3"/>
            <w:vAlign w:val="center"/>
          </w:tcPr>
          <w:p w:rsidR="00D7162B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D7162B" w:rsidRPr="00C758D6" w:rsidTr="00CF1A81">
        <w:trPr>
          <w:trHeight w:val="20"/>
        </w:trPr>
        <w:tc>
          <w:tcPr>
            <w:tcW w:w="5482" w:type="dxa"/>
            <w:gridSpan w:val="6"/>
          </w:tcPr>
          <w:p w:rsidR="00D7162B" w:rsidRPr="00C758D6" w:rsidRDefault="00C758D6" w:rsidP="00C758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Skips over or leaves out small words when reading</w:t>
            </w:r>
          </w:p>
        </w:tc>
        <w:tc>
          <w:tcPr>
            <w:tcW w:w="733" w:type="dxa"/>
            <w:gridSpan w:val="2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30" w:type="dxa"/>
          </w:tcPr>
          <w:p w:rsidR="00D7162B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25" w:type="dxa"/>
            <w:gridSpan w:val="3"/>
            <w:vAlign w:val="center"/>
          </w:tcPr>
          <w:p w:rsidR="00D7162B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C758D6" w:rsidRPr="00C758D6" w:rsidTr="00CF1A81">
        <w:trPr>
          <w:trHeight w:val="20"/>
        </w:trPr>
        <w:tc>
          <w:tcPr>
            <w:tcW w:w="5482" w:type="dxa"/>
            <w:gridSpan w:val="6"/>
          </w:tcPr>
          <w:p w:rsidR="00C758D6" w:rsidRPr="00C758D6" w:rsidRDefault="00C758D6" w:rsidP="00C758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Writes uphill or downhill; difficulty writing in a straight line</w:t>
            </w:r>
          </w:p>
        </w:tc>
        <w:tc>
          <w:tcPr>
            <w:tcW w:w="733" w:type="dxa"/>
            <w:gridSpan w:val="2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30" w:type="dxa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225" w:type="dxa"/>
            <w:gridSpan w:val="3"/>
            <w:vAlign w:val="center"/>
          </w:tcPr>
          <w:p w:rsidR="00C758D6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C758D6" w:rsidRPr="00C758D6" w:rsidTr="00CF1A81">
        <w:trPr>
          <w:trHeight w:val="20"/>
        </w:trPr>
        <w:tc>
          <w:tcPr>
            <w:tcW w:w="5482" w:type="dxa"/>
            <w:gridSpan w:val="6"/>
          </w:tcPr>
          <w:p w:rsidR="00C758D6" w:rsidRPr="00C758D6" w:rsidRDefault="00C758D6" w:rsidP="00C758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Has difficulty copying from the board</w:t>
            </w:r>
          </w:p>
        </w:tc>
        <w:tc>
          <w:tcPr>
            <w:tcW w:w="733" w:type="dxa"/>
            <w:gridSpan w:val="2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30" w:type="dxa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225" w:type="dxa"/>
            <w:gridSpan w:val="3"/>
            <w:vAlign w:val="center"/>
          </w:tcPr>
          <w:p w:rsidR="00C758D6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C758D6" w:rsidRPr="00C758D6" w:rsidTr="00CF1A81">
        <w:trPr>
          <w:trHeight w:val="20"/>
        </w:trPr>
        <w:tc>
          <w:tcPr>
            <w:tcW w:w="5482" w:type="dxa"/>
            <w:gridSpan w:val="6"/>
          </w:tcPr>
          <w:p w:rsidR="00C758D6" w:rsidRPr="00C758D6" w:rsidRDefault="00C758D6" w:rsidP="00C758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Avoids near work, such as reading and writing</w:t>
            </w:r>
          </w:p>
        </w:tc>
        <w:tc>
          <w:tcPr>
            <w:tcW w:w="733" w:type="dxa"/>
            <w:gridSpan w:val="2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630" w:type="dxa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225" w:type="dxa"/>
            <w:gridSpan w:val="3"/>
            <w:vAlign w:val="center"/>
          </w:tcPr>
          <w:p w:rsidR="00C758D6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C758D6" w:rsidRPr="00C758D6" w:rsidTr="00CF1A81">
        <w:trPr>
          <w:trHeight w:val="20"/>
        </w:trPr>
        <w:tc>
          <w:tcPr>
            <w:tcW w:w="5482" w:type="dxa"/>
            <w:gridSpan w:val="6"/>
          </w:tcPr>
          <w:p w:rsidR="00C758D6" w:rsidRPr="00C758D6" w:rsidRDefault="00C758D6" w:rsidP="00C758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Has difficulty lining up numbers when doing math</w:t>
            </w:r>
          </w:p>
        </w:tc>
        <w:tc>
          <w:tcPr>
            <w:tcW w:w="733" w:type="dxa"/>
            <w:gridSpan w:val="2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630" w:type="dxa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225" w:type="dxa"/>
            <w:gridSpan w:val="3"/>
            <w:vAlign w:val="center"/>
          </w:tcPr>
          <w:p w:rsidR="00C758D6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C758D6" w:rsidRPr="00C758D6" w:rsidTr="00CF1A81">
        <w:trPr>
          <w:trHeight w:val="20"/>
        </w:trPr>
        <w:tc>
          <w:tcPr>
            <w:tcW w:w="5482" w:type="dxa"/>
            <w:gridSpan w:val="6"/>
          </w:tcPr>
          <w:p w:rsidR="00C758D6" w:rsidRPr="00C758D6" w:rsidRDefault="00C758D6" w:rsidP="00C758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Has difficulty finishing assignments on time</w:t>
            </w:r>
          </w:p>
        </w:tc>
        <w:tc>
          <w:tcPr>
            <w:tcW w:w="733" w:type="dxa"/>
            <w:gridSpan w:val="2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630" w:type="dxa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225" w:type="dxa"/>
            <w:gridSpan w:val="3"/>
            <w:vAlign w:val="center"/>
          </w:tcPr>
          <w:p w:rsidR="00C758D6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C758D6" w:rsidRPr="00C758D6" w:rsidTr="00CF1A81">
        <w:trPr>
          <w:trHeight w:val="20"/>
        </w:trPr>
        <w:tc>
          <w:tcPr>
            <w:tcW w:w="5482" w:type="dxa"/>
            <w:gridSpan w:val="6"/>
          </w:tcPr>
          <w:p w:rsidR="00C758D6" w:rsidRPr="00C758D6" w:rsidRDefault="00C758D6" w:rsidP="00C758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Holds books too close; leans too close to a computer screen</w:t>
            </w:r>
          </w:p>
        </w:tc>
        <w:tc>
          <w:tcPr>
            <w:tcW w:w="733" w:type="dxa"/>
            <w:gridSpan w:val="2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630" w:type="dxa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225" w:type="dxa"/>
            <w:gridSpan w:val="3"/>
            <w:vAlign w:val="center"/>
          </w:tcPr>
          <w:p w:rsidR="00C758D6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C758D6" w:rsidRPr="00C758D6" w:rsidTr="00CF1A81">
        <w:trPr>
          <w:trHeight w:val="20"/>
        </w:trPr>
        <w:tc>
          <w:tcPr>
            <w:tcW w:w="5482" w:type="dxa"/>
            <w:gridSpan w:val="6"/>
          </w:tcPr>
          <w:p w:rsidR="00C758D6" w:rsidRPr="00C758D6" w:rsidRDefault="00C758D6" w:rsidP="00C758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58D6">
              <w:rPr>
                <w:rFonts w:asciiTheme="majorHAnsi" w:hAnsiTheme="majorHAnsi" w:cstheme="majorHAnsi"/>
                <w:sz w:val="22"/>
                <w:szCs w:val="22"/>
              </w:rPr>
              <w:t>Clumsy; bumps into things; knocks things over</w:t>
            </w:r>
          </w:p>
        </w:tc>
        <w:tc>
          <w:tcPr>
            <w:tcW w:w="733" w:type="dxa"/>
            <w:gridSpan w:val="2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630" w:type="dxa"/>
          </w:tcPr>
          <w:p w:rsidR="00C758D6" w:rsidRPr="00C758D6" w:rsidRDefault="00F85067" w:rsidP="00EE05F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instrText xml:space="preserve"> FORMCHECKBOX </w:instrText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</w:r>
            <w:r w:rsidR="00842BEE"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225" w:type="dxa"/>
            <w:gridSpan w:val="3"/>
            <w:vAlign w:val="center"/>
          </w:tcPr>
          <w:p w:rsidR="00C758D6" w:rsidRPr="00C758D6" w:rsidRDefault="00F85067" w:rsidP="001A682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216240" w:rsidRPr="00C758D6" w:rsidTr="00CF1A81">
        <w:trPr>
          <w:trHeight w:val="20"/>
        </w:trPr>
        <w:tc>
          <w:tcPr>
            <w:tcW w:w="10070" w:type="dxa"/>
            <w:gridSpan w:val="12"/>
          </w:tcPr>
          <w:p w:rsidR="00F85067" w:rsidRPr="00F85067" w:rsidRDefault="00216240" w:rsidP="00EE05F5">
            <w:pPr>
              <w:rPr>
                <w:rFonts w:ascii="Avenir" w:hAnsi="Avenir" w:cstheme="majorHAnsi"/>
                <w:b/>
                <w:sz w:val="22"/>
                <w:szCs w:val="22"/>
              </w:rPr>
            </w:pPr>
            <w:r w:rsidRPr="00F85067">
              <w:rPr>
                <w:rFonts w:ascii="Avenir" w:hAnsi="Avenir" w:cstheme="majorHAnsi"/>
                <w:b/>
                <w:sz w:val="22"/>
                <w:szCs w:val="22"/>
              </w:rPr>
              <w:t>Other Vision Concerns</w:t>
            </w:r>
          </w:p>
        </w:tc>
      </w:tr>
    </w:tbl>
    <w:p w:rsidR="00C758D6" w:rsidRPr="001A682C" w:rsidRDefault="00BD73A3" w:rsidP="00536FF6">
      <w:pPr>
        <w:rPr>
          <w:rFonts w:asciiTheme="majorHAnsi" w:hAnsiTheme="majorHAnsi" w:cstheme="majorHAnsi"/>
          <w:i/>
          <w:sz w:val="22"/>
        </w:rPr>
      </w:pPr>
      <w:r>
        <w:rPr>
          <w:rFonts w:asciiTheme="majorHAnsi" w:hAnsiTheme="majorHAnsi" w:cstheme="majorHAnsi"/>
          <w:i/>
          <w:sz w:val="21"/>
          <w:szCs w:val="22"/>
        </w:rPr>
        <w:t>Please return</w:t>
      </w:r>
      <w:r w:rsidR="001A682C" w:rsidRPr="001A682C">
        <w:rPr>
          <w:rFonts w:asciiTheme="majorHAnsi" w:hAnsiTheme="majorHAnsi" w:cstheme="majorHAnsi"/>
          <w:i/>
          <w:sz w:val="21"/>
          <w:szCs w:val="22"/>
        </w:rPr>
        <w:t xml:space="preserve"> </w:t>
      </w:r>
      <w:r>
        <w:rPr>
          <w:rFonts w:asciiTheme="majorHAnsi" w:hAnsiTheme="majorHAnsi" w:cstheme="majorHAnsi"/>
          <w:i/>
          <w:sz w:val="21"/>
          <w:szCs w:val="22"/>
        </w:rPr>
        <w:t>completed</w:t>
      </w:r>
      <w:r w:rsidR="001A682C" w:rsidRPr="001A682C">
        <w:rPr>
          <w:rFonts w:asciiTheme="majorHAnsi" w:hAnsiTheme="majorHAnsi" w:cstheme="majorHAnsi"/>
          <w:i/>
          <w:sz w:val="21"/>
          <w:szCs w:val="22"/>
        </w:rPr>
        <w:t xml:space="preserve"> form to the </w:t>
      </w:r>
      <w:r>
        <w:rPr>
          <w:rFonts w:asciiTheme="majorHAnsi" w:hAnsiTheme="majorHAnsi" w:cstheme="majorHAnsi"/>
          <w:i/>
          <w:sz w:val="21"/>
          <w:szCs w:val="22"/>
        </w:rPr>
        <w:t>assigned district</w:t>
      </w:r>
      <w:r w:rsidR="001A682C" w:rsidRPr="001A682C">
        <w:rPr>
          <w:rFonts w:asciiTheme="majorHAnsi" w:hAnsiTheme="majorHAnsi" w:cstheme="majorHAnsi"/>
          <w:i/>
          <w:sz w:val="21"/>
          <w:szCs w:val="22"/>
        </w:rPr>
        <w:t xml:space="preserve"> nurse for tier 2 evaluation and possible referral to an eye care professional</w:t>
      </w:r>
      <w:r>
        <w:rPr>
          <w:rFonts w:asciiTheme="majorHAnsi" w:hAnsiTheme="majorHAnsi" w:cstheme="majorHAnsi"/>
          <w:i/>
          <w:sz w:val="21"/>
          <w:szCs w:val="22"/>
        </w:rPr>
        <w:t>.</w:t>
      </w:r>
      <w:r w:rsidR="00C758D6" w:rsidRPr="001A682C">
        <w:rPr>
          <w:rFonts w:asciiTheme="majorHAnsi" w:hAnsiTheme="majorHAnsi" w:cstheme="majorHAnsi"/>
          <w:i/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87"/>
        <w:gridCol w:w="2069"/>
        <w:gridCol w:w="94"/>
        <w:gridCol w:w="541"/>
        <w:gridCol w:w="2334"/>
      </w:tblGrid>
      <w:tr w:rsidR="00536FF6" w:rsidTr="008C09CD">
        <w:tc>
          <w:tcPr>
            <w:tcW w:w="10070" w:type="dxa"/>
            <w:gridSpan w:val="6"/>
          </w:tcPr>
          <w:p w:rsidR="00536FF6" w:rsidRPr="00F85067" w:rsidRDefault="00536FF6" w:rsidP="00F85067">
            <w:pPr>
              <w:shd w:val="clear" w:color="auto" w:fill="D9E2F3" w:themeFill="accent1" w:themeFillTint="33"/>
              <w:rPr>
                <w:rFonts w:ascii="Avenir" w:hAnsi="Avenir" w:cstheme="majorHAnsi"/>
                <w:b/>
                <w:sz w:val="22"/>
              </w:rPr>
            </w:pPr>
            <w:r w:rsidRPr="00F85067">
              <w:rPr>
                <w:rFonts w:ascii="Avenir" w:hAnsi="Avenir" w:cstheme="majorHAnsi"/>
                <w:b/>
                <w:sz w:val="22"/>
              </w:rPr>
              <w:lastRenderedPageBreak/>
              <w:t>FOR SCHOOL NURSE USE ONLY</w:t>
            </w:r>
          </w:p>
          <w:p w:rsidR="00536FF6" w:rsidRPr="00F85067" w:rsidRDefault="00536FF6" w:rsidP="00536FF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sz w:val="22"/>
              </w:rPr>
            </w:pPr>
            <w:r w:rsidRPr="00F85067">
              <w:rPr>
                <w:rFonts w:asciiTheme="majorHAnsi" w:eastAsia="Times New Roman" w:hAnsiTheme="majorHAnsi" w:cstheme="majorHAnsi"/>
                <w:sz w:val="22"/>
              </w:rPr>
              <w:t xml:space="preserve">Any parent or teacher concern and/or any ‘yes’ answers should be evaluated by the school nurse to determine if tier 2 screening or referral to an eye care professional is necessary. </w:t>
            </w:r>
          </w:p>
          <w:p w:rsidR="00536FF6" w:rsidRPr="00536FF6" w:rsidRDefault="00536FF6" w:rsidP="00536FF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F85067">
              <w:rPr>
                <w:rFonts w:asciiTheme="majorHAnsi" w:eastAsia="Times New Roman" w:hAnsiTheme="majorHAnsi" w:cstheme="majorHAnsi"/>
                <w:sz w:val="22"/>
              </w:rPr>
              <w:t>School nurse should use their professional nursing judgement in determining whether the student receives a tier 2 vision screening and/or is referred to an eye care professional, regardless of the answers.</w:t>
            </w:r>
          </w:p>
        </w:tc>
      </w:tr>
      <w:tr w:rsidR="009C2E8F" w:rsidTr="001A682C">
        <w:trPr>
          <w:trHeight w:val="288"/>
        </w:trPr>
        <w:tc>
          <w:tcPr>
            <w:tcW w:w="5032" w:type="dxa"/>
            <w:gridSpan w:val="2"/>
            <w:vAlign w:val="center"/>
          </w:tcPr>
          <w:p w:rsidR="009C2E8F" w:rsidRDefault="009C2E8F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Distance Vision Screened</w:t>
            </w:r>
          </w:p>
        </w:tc>
        <w:tc>
          <w:tcPr>
            <w:tcW w:w="5038" w:type="dxa"/>
            <w:gridSpan w:val="4"/>
            <w:vAlign w:val="center"/>
          </w:tcPr>
          <w:p w:rsidR="009C2E8F" w:rsidRDefault="009C2E8F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39"/>
            <w:r>
              <w:rPr>
                <w:rFonts w:asciiTheme="majorHAnsi" w:hAnsiTheme="majorHAnsi" w:cstheme="majorHAnsi"/>
                <w:sz w:val="22"/>
              </w:rPr>
              <w:t xml:space="preserve"> pass       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40"/>
            <w:r>
              <w:rPr>
                <w:rFonts w:asciiTheme="majorHAnsi" w:hAnsiTheme="majorHAnsi" w:cstheme="majorHAnsi"/>
                <w:sz w:val="22"/>
              </w:rPr>
              <w:t xml:space="preserve"> fail</w:t>
            </w:r>
          </w:p>
        </w:tc>
      </w:tr>
      <w:tr w:rsidR="009C2E8F" w:rsidTr="001A682C">
        <w:trPr>
          <w:trHeight w:val="288"/>
        </w:trPr>
        <w:tc>
          <w:tcPr>
            <w:tcW w:w="5032" w:type="dxa"/>
            <w:gridSpan w:val="2"/>
            <w:vAlign w:val="center"/>
          </w:tcPr>
          <w:p w:rsidR="009C2E8F" w:rsidRDefault="009C2E8F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Near Vision Screened</w:t>
            </w:r>
          </w:p>
        </w:tc>
        <w:tc>
          <w:tcPr>
            <w:tcW w:w="5038" w:type="dxa"/>
            <w:gridSpan w:val="4"/>
            <w:vAlign w:val="center"/>
          </w:tcPr>
          <w:p w:rsidR="009C2E8F" w:rsidRDefault="009C2E8F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pass       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fail</w:t>
            </w:r>
          </w:p>
        </w:tc>
      </w:tr>
      <w:tr w:rsidR="009C2E8F" w:rsidTr="001A682C">
        <w:trPr>
          <w:trHeight w:val="288"/>
        </w:trPr>
        <w:tc>
          <w:tcPr>
            <w:tcW w:w="5032" w:type="dxa"/>
            <w:gridSpan w:val="2"/>
            <w:vAlign w:val="center"/>
          </w:tcPr>
          <w:p w:rsidR="009C2E8F" w:rsidRDefault="009C2E8F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Eye Focusing or Tracking Screened</w:t>
            </w:r>
          </w:p>
        </w:tc>
        <w:tc>
          <w:tcPr>
            <w:tcW w:w="2069" w:type="dxa"/>
            <w:vAlign w:val="center"/>
          </w:tcPr>
          <w:p w:rsidR="009C2E8F" w:rsidRDefault="009C2E8F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Yes         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No   </w:t>
            </w:r>
          </w:p>
        </w:tc>
        <w:tc>
          <w:tcPr>
            <w:tcW w:w="2969" w:type="dxa"/>
            <w:gridSpan w:val="3"/>
            <w:vAlign w:val="center"/>
          </w:tcPr>
          <w:p w:rsidR="009C2E8F" w:rsidRDefault="009C2E8F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If yes: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pass    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fail</w:t>
            </w:r>
          </w:p>
        </w:tc>
      </w:tr>
      <w:tr w:rsidR="009C2E8F" w:rsidTr="001A682C">
        <w:trPr>
          <w:trHeight w:val="288"/>
        </w:trPr>
        <w:tc>
          <w:tcPr>
            <w:tcW w:w="5032" w:type="dxa"/>
            <w:gridSpan w:val="2"/>
            <w:vAlign w:val="center"/>
          </w:tcPr>
          <w:p w:rsidR="009C2E8F" w:rsidRDefault="009C2E8F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Convergence Screened</w:t>
            </w:r>
          </w:p>
        </w:tc>
        <w:tc>
          <w:tcPr>
            <w:tcW w:w="2069" w:type="dxa"/>
            <w:vAlign w:val="center"/>
          </w:tcPr>
          <w:p w:rsidR="009C2E8F" w:rsidRDefault="009C2E8F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Yes         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No   </w:t>
            </w:r>
          </w:p>
        </w:tc>
        <w:tc>
          <w:tcPr>
            <w:tcW w:w="2969" w:type="dxa"/>
            <w:gridSpan w:val="3"/>
            <w:vAlign w:val="center"/>
          </w:tcPr>
          <w:p w:rsidR="009C2E8F" w:rsidRDefault="009C2E8F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If yes: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pass    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fail</w:t>
            </w:r>
          </w:p>
        </w:tc>
      </w:tr>
      <w:tr w:rsidR="009C2E8F" w:rsidTr="001A682C">
        <w:trPr>
          <w:trHeight w:val="288"/>
        </w:trPr>
        <w:tc>
          <w:tcPr>
            <w:tcW w:w="10070" w:type="dxa"/>
            <w:gridSpan w:val="6"/>
            <w:vAlign w:val="center"/>
          </w:tcPr>
          <w:p w:rsidR="009C2E8F" w:rsidRDefault="009C2E8F" w:rsidP="001A682C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16240" w:rsidTr="001A682C">
        <w:trPr>
          <w:trHeight w:val="288"/>
        </w:trPr>
        <w:tc>
          <w:tcPr>
            <w:tcW w:w="5032" w:type="dxa"/>
            <w:gridSpan w:val="2"/>
            <w:vAlign w:val="center"/>
          </w:tcPr>
          <w:p w:rsidR="00216240" w:rsidRDefault="00216240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Referred to eye care professional</w:t>
            </w:r>
          </w:p>
        </w:tc>
        <w:tc>
          <w:tcPr>
            <w:tcW w:w="2069" w:type="dxa"/>
            <w:vAlign w:val="center"/>
          </w:tcPr>
          <w:p w:rsidR="00216240" w:rsidRDefault="00216240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Yes         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42BEE">
              <w:rPr>
                <w:rFonts w:asciiTheme="majorHAnsi" w:hAnsiTheme="majorHAnsi" w:cstheme="majorHAnsi"/>
                <w:sz w:val="22"/>
              </w:rPr>
            </w:r>
            <w:r w:rsidR="00842BEE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No   </w:t>
            </w:r>
          </w:p>
        </w:tc>
        <w:tc>
          <w:tcPr>
            <w:tcW w:w="635" w:type="dxa"/>
            <w:gridSpan w:val="2"/>
            <w:vAlign w:val="center"/>
          </w:tcPr>
          <w:p w:rsidR="00216240" w:rsidRDefault="00216240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Date</w:t>
            </w:r>
          </w:p>
        </w:tc>
        <w:tc>
          <w:tcPr>
            <w:tcW w:w="2334" w:type="dxa"/>
            <w:vAlign w:val="center"/>
          </w:tcPr>
          <w:p w:rsidR="00216240" w:rsidRDefault="00F85067" w:rsidP="001A682C">
            <w:pPr>
              <w:rPr>
                <w:rFonts w:asciiTheme="majorHAnsi" w:hAnsiTheme="majorHAnsi" w:cstheme="majorHAnsi"/>
                <w:sz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216240" w:rsidTr="001A682C">
        <w:trPr>
          <w:trHeight w:val="288"/>
        </w:trPr>
        <w:tc>
          <w:tcPr>
            <w:tcW w:w="10070" w:type="dxa"/>
            <w:gridSpan w:val="6"/>
            <w:vAlign w:val="center"/>
          </w:tcPr>
          <w:p w:rsidR="00216240" w:rsidRPr="00F85067" w:rsidRDefault="00216240" w:rsidP="001A682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F85067">
              <w:rPr>
                <w:rFonts w:asciiTheme="majorHAnsi" w:hAnsiTheme="majorHAnsi" w:cstheme="majorHAnsi"/>
                <w:b/>
                <w:sz w:val="22"/>
              </w:rPr>
              <w:t>Additional Notes</w:t>
            </w:r>
          </w:p>
          <w:p w:rsidR="00216240" w:rsidRDefault="00216240" w:rsidP="001A682C">
            <w:pPr>
              <w:rPr>
                <w:rFonts w:asciiTheme="majorHAnsi" w:hAnsiTheme="majorHAnsi" w:cstheme="majorHAnsi"/>
                <w:sz w:val="22"/>
              </w:rPr>
            </w:pPr>
          </w:p>
          <w:p w:rsidR="001A682C" w:rsidRDefault="001A682C" w:rsidP="001A682C">
            <w:pPr>
              <w:rPr>
                <w:rFonts w:asciiTheme="majorHAnsi" w:hAnsiTheme="majorHAnsi" w:cstheme="majorHAnsi"/>
                <w:sz w:val="22"/>
              </w:rPr>
            </w:pPr>
          </w:p>
          <w:p w:rsidR="00216240" w:rsidRDefault="00216240" w:rsidP="001A682C">
            <w:pPr>
              <w:rPr>
                <w:rFonts w:asciiTheme="majorHAnsi" w:hAnsiTheme="majorHAnsi" w:cstheme="majorHAnsi"/>
                <w:sz w:val="22"/>
              </w:rPr>
            </w:pPr>
          </w:p>
          <w:p w:rsidR="00216240" w:rsidRDefault="00216240" w:rsidP="001A682C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16240" w:rsidTr="001A682C">
        <w:trPr>
          <w:trHeight w:val="288"/>
        </w:trPr>
        <w:tc>
          <w:tcPr>
            <w:tcW w:w="2245" w:type="dxa"/>
            <w:vAlign w:val="center"/>
          </w:tcPr>
          <w:p w:rsidR="00216240" w:rsidRDefault="00216240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School Nurse Name</w:t>
            </w:r>
          </w:p>
        </w:tc>
        <w:tc>
          <w:tcPr>
            <w:tcW w:w="7825" w:type="dxa"/>
            <w:gridSpan w:val="5"/>
            <w:vAlign w:val="center"/>
          </w:tcPr>
          <w:p w:rsidR="00216240" w:rsidRDefault="00F85067" w:rsidP="001A682C">
            <w:pPr>
              <w:rPr>
                <w:rFonts w:asciiTheme="majorHAnsi" w:hAnsiTheme="majorHAnsi" w:cstheme="majorHAnsi"/>
                <w:sz w:val="22"/>
              </w:rPr>
            </w:pP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  <w:tr w:rsidR="00216240" w:rsidTr="001A682C">
        <w:trPr>
          <w:trHeight w:val="288"/>
        </w:trPr>
        <w:tc>
          <w:tcPr>
            <w:tcW w:w="7195" w:type="dxa"/>
            <w:gridSpan w:val="4"/>
            <w:vAlign w:val="center"/>
          </w:tcPr>
          <w:p w:rsidR="00216240" w:rsidRDefault="00216240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School Nurse Signature</w:t>
            </w:r>
          </w:p>
        </w:tc>
        <w:tc>
          <w:tcPr>
            <w:tcW w:w="2875" w:type="dxa"/>
            <w:gridSpan w:val="2"/>
            <w:vAlign w:val="center"/>
          </w:tcPr>
          <w:p w:rsidR="00216240" w:rsidRDefault="00216240" w:rsidP="001A682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Date</w:t>
            </w:r>
            <w:r w:rsidR="00F85067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F85067"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5067" w:rsidRPr="00F85067">
              <w:rPr>
                <w:rFonts w:ascii="Avenir" w:eastAsia="Times New Roman" w:hAnsi="Avenir" w:cstheme="majorHAnsi"/>
                <w:sz w:val="22"/>
                <w:szCs w:val="22"/>
              </w:rPr>
              <w:instrText xml:space="preserve"> FORMTEXT </w:instrText>
            </w:r>
            <w:r w:rsidR="00F85067" w:rsidRPr="00F85067">
              <w:rPr>
                <w:rFonts w:ascii="Avenir" w:eastAsia="Times New Roman" w:hAnsi="Avenir" w:cstheme="majorHAnsi"/>
                <w:sz w:val="22"/>
                <w:szCs w:val="22"/>
              </w:rPr>
            </w:r>
            <w:r w:rsidR="00F85067"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separate"/>
            </w:r>
            <w:r w:rsidR="00F85067"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="00F85067"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="00F85067"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="00F85067"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="00F85067" w:rsidRPr="00F85067">
              <w:rPr>
                <w:rFonts w:ascii="Avenir" w:eastAsia="Times New Roman" w:hAnsi="Avenir" w:cstheme="majorHAnsi"/>
                <w:noProof/>
                <w:sz w:val="22"/>
                <w:szCs w:val="22"/>
              </w:rPr>
              <w:t> </w:t>
            </w:r>
            <w:r w:rsidR="00F85067" w:rsidRPr="00F85067">
              <w:rPr>
                <w:rFonts w:ascii="Avenir" w:eastAsia="Times New Roman" w:hAnsi="Avenir" w:cstheme="majorHAnsi"/>
                <w:sz w:val="22"/>
                <w:szCs w:val="22"/>
              </w:rPr>
              <w:fldChar w:fldCharType="end"/>
            </w:r>
          </w:p>
        </w:tc>
      </w:tr>
    </w:tbl>
    <w:p w:rsidR="00C758D6" w:rsidRPr="00EE05F5" w:rsidRDefault="00C758D6">
      <w:pPr>
        <w:rPr>
          <w:rFonts w:asciiTheme="majorHAnsi" w:hAnsiTheme="majorHAnsi" w:cstheme="majorHAnsi"/>
          <w:sz w:val="22"/>
        </w:rPr>
      </w:pPr>
    </w:p>
    <w:sectPr w:rsidR="00C758D6" w:rsidRPr="00EE05F5" w:rsidSect="00EE05F5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2BEE" w:rsidRDefault="00842BEE" w:rsidP="00C758D6">
      <w:r>
        <w:separator/>
      </w:r>
    </w:p>
  </w:endnote>
  <w:endnote w:type="continuationSeparator" w:id="0">
    <w:p w:rsidR="00842BEE" w:rsidRDefault="00842BEE" w:rsidP="00C7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58D6" w:rsidRPr="00C758D6" w:rsidRDefault="00C758D6" w:rsidP="00C758D6">
    <w:pPr>
      <w:pStyle w:val="Footer"/>
      <w:jc w:val="right"/>
      <w:rPr>
        <w:rFonts w:ascii="Avenir" w:hAnsi="Avenir"/>
        <w:color w:val="4472C4" w:themeColor="accent1"/>
        <w:sz w:val="21"/>
      </w:rPr>
    </w:pPr>
    <w:r w:rsidRPr="00C758D6">
      <w:rPr>
        <w:rFonts w:ascii="Avenir" w:hAnsi="Avenir"/>
        <w:color w:val="4472C4" w:themeColor="accent1"/>
        <w:sz w:val="21"/>
      </w:rPr>
      <w:t xml:space="preserve">Page </w:t>
    </w:r>
    <w:r w:rsidRPr="00C758D6">
      <w:rPr>
        <w:rFonts w:ascii="Avenir" w:hAnsi="Avenir"/>
        <w:color w:val="4472C4" w:themeColor="accent1"/>
        <w:sz w:val="21"/>
      </w:rPr>
      <w:fldChar w:fldCharType="begin"/>
    </w:r>
    <w:r w:rsidRPr="00C758D6">
      <w:rPr>
        <w:rFonts w:ascii="Avenir" w:hAnsi="Avenir"/>
        <w:color w:val="4472C4" w:themeColor="accent1"/>
        <w:sz w:val="21"/>
      </w:rPr>
      <w:instrText xml:space="preserve"> PAGE  \* Arabic  \* MERGEFORMAT </w:instrText>
    </w:r>
    <w:r w:rsidRPr="00C758D6">
      <w:rPr>
        <w:rFonts w:ascii="Avenir" w:hAnsi="Avenir"/>
        <w:color w:val="4472C4" w:themeColor="accent1"/>
        <w:sz w:val="21"/>
      </w:rPr>
      <w:fldChar w:fldCharType="separate"/>
    </w:r>
    <w:r w:rsidRPr="00C758D6">
      <w:rPr>
        <w:rFonts w:ascii="Avenir" w:hAnsi="Avenir"/>
        <w:noProof/>
        <w:color w:val="4472C4" w:themeColor="accent1"/>
        <w:sz w:val="21"/>
      </w:rPr>
      <w:t>2</w:t>
    </w:r>
    <w:r w:rsidRPr="00C758D6">
      <w:rPr>
        <w:rFonts w:ascii="Avenir" w:hAnsi="Avenir"/>
        <w:color w:val="4472C4" w:themeColor="accent1"/>
        <w:sz w:val="21"/>
      </w:rPr>
      <w:fldChar w:fldCharType="end"/>
    </w:r>
    <w:r w:rsidRPr="00C758D6">
      <w:rPr>
        <w:rFonts w:ascii="Avenir" w:hAnsi="Avenir"/>
        <w:color w:val="4472C4" w:themeColor="accent1"/>
        <w:sz w:val="21"/>
      </w:rPr>
      <w:t xml:space="preserve"> of </w:t>
    </w:r>
    <w:r w:rsidRPr="00C758D6">
      <w:rPr>
        <w:rFonts w:ascii="Avenir" w:hAnsi="Avenir"/>
        <w:color w:val="4472C4" w:themeColor="accent1"/>
        <w:sz w:val="21"/>
      </w:rPr>
      <w:fldChar w:fldCharType="begin"/>
    </w:r>
    <w:r w:rsidRPr="00C758D6">
      <w:rPr>
        <w:rFonts w:ascii="Avenir" w:hAnsi="Avenir"/>
        <w:color w:val="4472C4" w:themeColor="accent1"/>
        <w:sz w:val="21"/>
      </w:rPr>
      <w:instrText xml:space="preserve"> NUMPAGES  \* Arabic  \* MERGEFORMAT </w:instrText>
    </w:r>
    <w:r w:rsidRPr="00C758D6">
      <w:rPr>
        <w:rFonts w:ascii="Avenir" w:hAnsi="Avenir"/>
        <w:color w:val="4472C4" w:themeColor="accent1"/>
        <w:sz w:val="21"/>
      </w:rPr>
      <w:fldChar w:fldCharType="separate"/>
    </w:r>
    <w:r w:rsidRPr="00C758D6">
      <w:rPr>
        <w:rFonts w:ascii="Avenir" w:hAnsi="Avenir"/>
        <w:noProof/>
        <w:color w:val="4472C4" w:themeColor="accent1"/>
        <w:sz w:val="21"/>
      </w:rPr>
      <w:t>2</w:t>
    </w:r>
    <w:r w:rsidRPr="00C758D6">
      <w:rPr>
        <w:rFonts w:ascii="Avenir" w:hAnsi="Avenir"/>
        <w:color w:val="4472C4" w:themeColor="accent1"/>
        <w:sz w:val="21"/>
      </w:rPr>
      <w:fldChar w:fldCharType="end"/>
    </w:r>
  </w:p>
  <w:p w:rsidR="00C758D6" w:rsidRPr="00C758D6" w:rsidRDefault="00C758D6" w:rsidP="00C758D6">
    <w:pPr>
      <w:pStyle w:val="Footer"/>
      <w:jc w:val="right"/>
      <w:rPr>
        <w:rFonts w:ascii="Avenir" w:hAnsi="Avenir"/>
        <w:i/>
        <w:sz w:val="21"/>
      </w:rPr>
    </w:pPr>
    <w:r w:rsidRPr="00C758D6">
      <w:rPr>
        <w:rFonts w:ascii="Avenir" w:hAnsi="Avenir"/>
        <w:i/>
        <w:sz w:val="21"/>
      </w:rPr>
      <w:t>Updated 10.8.2019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2BEE" w:rsidRDefault="00842BEE" w:rsidP="00C758D6">
      <w:r>
        <w:separator/>
      </w:r>
    </w:p>
  </w:footnote>
  <w:footnote w:type="continuationSeparator" w:id="0">
    <w:p w:rsidR="00842BEE" w:rsidRDefault="00842BEE" w:rsidP="00C7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58D6" w:rsidRPr="009C2E8F" w:rsidRDefault="00C758D6" w:rsidP="00C758D6">
    <w:pPr>
      <w:pStyle w:val="Header"/>
      <w:jc w:val="right"/>
      <w:rPr>
        <w:rFonts w:ascii="Avenir" w:hAnsi="Avenir"/>
        <w:b/>
        <w:sz w:val="22"/>
      </w:rPr>
    </w:pPr>
    <w:r w:rsidRPr="009C2E8F">
      <w:rPr>
        <w:rFonts w:ascii="Avenir" w:eastAsia="Times New Roman" w:hAnsi="Avenir" w:cstheme="majorHAnsi"/>
        <w:noProof/>
        <w:sz w:val="21"/>
        <w:szCs w:val="22"/>
      </w:rPr>
      <w:drawing>
        <wp:anchor distT="0" distB="0" distL="114300" distR="114300" simplePos="0" relativeHeight="251658240" behindDoc="1" locked="0" layoutInCell="1" allowOverlap="1" wp14:anchorId="6174A998" wp14:editId="064C7CF1">
          <wp:simplePos x="0" y="0"/>
          <wp:positionH relativeFrom="column">
            <wp:posOffset>5445760</wp:posOffset>
          </wp:positionH>
          <wp:positionV relativeFrom="paragraph">
            <wp:posOffset>-208749</wp:posOffset>
          </wp:positionV>
          <wp:extent cx="901065" cy="784860"/>
          <wp:effectExtent l="0" t="0" r="635" b="2540"/>
          <wp:wrapTight wrapText="bothSides">
            <wp:wrapPolygon edited="0">
              <wp:start x="6089" y="350"/>
              <wp:lineTo x="4262" y="1398"/>
              <wp:lineTo x="3958" y="4544"/>
              <wp:lineTo x="5175" y="6641"/>
              <wp:lineTo x="2436" y="9087"/>
              <wp:lineTo x="304" y="11534"/>
              <wp:lineTo x="304" y="21320"/>
              <wp:lineTo x="21006" y="21320"/>
              <wp:lineTo x="21311" y="18524"/>
              <wp:lineTo x="21311" y="11534"/>
              <wp:lineTo x="15222" y="5942"/>
              <wp:lineTo x="7307" y="350"/>
              <wp:lineTo x="6089" y="35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 Year Color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7" r="9781" b="19486"/>
                  <a:stretch/>
                </pic:blipFill>
                <pic:spPr bwMode="auto">
                  <a:xfrm>
                    <a:off x="0" y="0"/>
                    <a:ext cx="901065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E8F">
      <w:rPr>
        <w:rFonts w:ascii="Avenir" w:hAnsi="Avenir"/>
        <w:sz w:val="22"/>
      </w:rPr>
      <w:t xml:space="preserve"> </w:t>
    </w:r>
    <w:r w:rsidRPr="009C2E8F">
      <w:rPr>
        <w:rFonts w:ascii="Avenir" w:hAnsi="Avenir"/>
        <w:b/>
        <w:sz w:val="22"/>
      </w:rPr>
      <w:t>Responsive Services Department</w:t>
    </w:r>
  </w:p>
  <w:p w:rsidR="009C2E8F" w:rsidRPr="009C2E8F" w:rsidRDefault="009C2E8F" w:rsidP="00C758D6">
    <w:pPr>
      <w:pStyle w:val="Header"/>
      <w:jc w:val="right"/>
      <w:rPr>
        <w:rFonts w:ascii="Avenir" w:hAnsi="Avenir"/>
        <w:sz w:val="22"/>
      </w:rPr>
    </w:pPr>
    <w:r w:rsidRPr="009C2E8F">
      <w:rPr>
        <w:rFonts w:ascii="Avenir" w:hAnsi="Avenir"/>
        <w:sz w:val="22"/>
      </w:rPr>
      <w:t>9361 S. 300 E.</w:t>
    </w:r>
  </w:p>
  <w:p w:rsidR="00C758D6" w:rsidRPr="009C2E8F" w:rsidRDefault="009C2E8F" w:rsidP="009C2E8F">
    <w:pPr>
      <w:pStyle w:val="Header"/>
      <w:jc w:val="right"/>
      <w:rPr>
        <w:rFonts w:ascii="Avenir" w:hAnsi="Avenir"/>
        <w:sz w:val="22"/>
      </w:rPr>
    </w:pPr>
    <w:r w:rsidRPr="009C2E8F">
      <w:rPr>
        <w:rFonts w:ascii="Avenir" w:hAnsi="Avenir"/>
        <w:sz w:val="22"/>
      </w:rPr>
      <w:t>Sandy, UT 84070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1AC2"/>
    <w:multiLevelType w:val="hybridMultilevel"/>
    <w:tmpl w:val="70F4A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905F9"/>
    <w:multiLevelType w:val="multilevel"/>
    <w:tmpl w:val="17686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mbria" w:hAnsi="Cambria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88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1E497ACA"/>
    <w:multiLevelType w:val="hybridMultilevel"/>
    <w:tmpl w:val="E04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09A6"/>
    <w:multiLevelType w:val="hybridMultilevel"/>
    <w:tmpl w:val="9B0A4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24FC9"/>
    <w:multiLevelType w:val="hybridMultilevel"/>
    <w:tmpl w:val="465ED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61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D6CC0"/>
    <w:multiLevelType w:val="hybridMultilevel"/>
    <w:tmpl w:val="930A9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7E79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61772E"/>
    <w:multiLevelType w:val="hybridMultilevel"/>
    <w:tmpl w:val="DE506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CD2EBC"/>
    <w:multiLevelType w:val="hybridMultilevel"/>
    <w:tmpl w:val="0B1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F5"/>
    <w:rsid w:val="000C2685"/>
    <w:rsid w:val="000F441B"/>
    <w:rsid w:val="001A682C"/>
    <w:rsid w:val="00216240"/>
    <w:rsid w:val="0028049F"/>
    <w:rsid w:val="00375210"/>
    <w:rsid w:val="003E77B0"/>
    <w:rsid w:val="00536FF6"/>
    <w:rsid w:val="00785CFC"/>
    <w:rsid w:val="00842BEE"/>
    <w:rsid w:val="00950727"/>
    <w:rsid w:val="009C2E8F"/>
    <w:rsid w:val="009E0920"/>
    <w:rsid w:val="00BD73A3"/>
    <w:rsid w:val="00C758D6"/>
    <w:rsid w:val="00CF1A81"/>
    <w:rsid w:val="00D6763F"/>
    <w:rsid w:val="00D7162B"/>
    <w:rsid w:val="00DC071B"/>
    <w:rsid w:val="00EE05F5"/>
    <w:rsid w:val="00F125BE"/>
    <w:rsid w:val="00F5595E"/>
    <w:rsid w:val="00F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E63ABC-1187-FD43-BB95-F592A948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63F"/>
    <w:pPr>
      <w:keepNext/>
      <w:keepLines/>
      <w:spacing w:before="240"/>
      <w:outlineLvl w:val="0"/>
    </w:pPr>
    <w:rPr>
      <w:rFonts w:ascii="Avenir" w:eastAsiaTheme="majorEastAsia" w:hAnsi="Avenir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8D6"/>
  </w:style>
  <w:style w:type="paragraph" w:styleId="Footer">
    <w:name w:val="footer"/>
    <w:basedOn w:val="Normal"/>
    <w:link w:val="FooterChar"/>
    <w:uiPriority w:val="99"/>
    <w:unhideWhenUsed/>
    <w:rsid w:val="00C75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8D6"/>
  </w:style>
  <w:style w:type="character" w:styleId="Hyperlink">
    <w:name w:val="Hyperlink"/>
    <w:basedOn w:val="DefaultParagraphFont"/>
    <w:uiPriority w:val="99"/>
    <w:unhideWhenUsed/>
    <w:rsid w:val="00DC07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7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C07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6763F"/>
    <w:rPr>
      <w:rFonts w:ascii="Avenir" w:eastAsiaTheme="majorEastAsia" w:hAnsi="Avenir" w:cstheme="majorBidi"/>
      <w:b/>
      <w:color w:val="2F5496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2020-11-17T15:04:00Z</dcterms:created>
  <dcterms:modified xsi:type="dcterms:W3CDTF">2020-11-17T15:04:00Z</dcterms:modified>
</cp:coreProperties>
</file>